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Silent Discussion Protocol</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For this protocol students can be given a handout with the squares, draw the squares in their notebook or fold a sheet of notebook paper in four.  The protocol starts with each student writing his or her draft of the mini-argument in the first quadrant (upper left hand corner). The author of the mini-argument then passes his or her sheet to the left.  Without talking, the first student responder reads the mini-argument and writes feedback in the form of a PQP (Praise-Questions-Polish) in the second quadrant.  He or she then passes to the left again.  The next peer responder reads the mini-argument, the first PQP and then completes another PQP in the third quadrant, making sure to comment on the PQP in the second quadrant.  Finally, the sheet is returned to the author, he or she reads the feedback and then writes a “So What?” reflection on the implications of the feedback from his or her peers.  </w:t>
      </w:r>
    </w:p>
    <w:tbl>
      <w:tblPr>
        <w:tblStyle w:val="Table1"/>
        <w:bidiVisual w:val="0"/>
        <w:tblW w:w="1106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33"/>
        <w:gridCol w:w="5533"/>
        <w:tblGridChange w:id="0">
          <w:tblGrid>
            <w:gridCol w:w="5533"/>
            <w:gridCol w:w="5533"/>
          </w:tblGrid>
        </w:tblGridChange>
      </w:tblGrid>
      <w:tr>
        <w:trPr>
          <w:trHeight w:val="5180" w:hRule="atLeast"/>
        </w:trPr>
        <w:tc>
          <w:tcPr/>
          <w:p w:rsidP="00000000" w:rsidRPr="00000000" w:rsidR="00000000" w:rsidDel="00000000" w:rsidRDefault="00000000">
            <w:pPr>
              <w:contextualSpacing w:val="0"/>
              <w:jc w:val="center"/>
            </w:pPr>
            <w:bookmarkStart w:id="0" w:colFirst="0" w:name="h.gjdgxs" w:colLast="0"/>
            <w:bookmarkEnd w:id="0"/>
            <w:r w:rsidRPr="00000000" w:rsidR="00000000" w:rsidDel="00000000">
              <w:rPr>
                <w:rFonts w:cs="Times New Roman" w:hAnsi="Times New Roman" w:eastAsia="Times New Roman" w:ascii="Times New Roman"/>
                <w:b w:val="1"/>
                <w:sz w:val="24"/>
                <w:rtl w:val="0"/>
              </w:rPr>
              <w:t xml:space="preserve">Mini-Argument</w:t>
            </w:r>
          </w:p>
        </w:tc>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Praise: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Polish: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5180" w:hRule="atLeast"/>
        </w:trPr>
        <w:tc>
          <w:tcPr/>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Praise: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Polish: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So What?</w:t>
            </w:r>
          </w:p>
        </w:tc>
      </w:tr>
    </w:tbl>
    <w:p w:rsidP="00000000" w:rsidRPr="00000000" w:rsidR="00000000" w:rsidDel="00000000" w:rsidRDefault="00000000">
      <w:pPr>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Silent Discussion Protocol.docx</dc:title>
</cp:coreProperties>
</file>