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Jigsaw Note-Catcher</w:t>
      </w:r>
    </w:p>
    <w:tbl>
      <w:tblPr>
        <w:tblStyle w:val="Table1"/>
        <w:bidiVisual w:val="0"/>
        <w:tblW w:w="1461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808"/>
        <w:gridCol w:w="2880"/>
        <w:gridCol w:w="4410"/>
        <w:gridCol w:w="4518"/>
        <w:tblGridChange w:id="0">
          <w:tblGrid>
            <w:gridCol w:w="2808"/>
            <w:gridCol w:w="2880"/>
            <w:gridCol w:w="4410"/>
            <w:gridCol w:w="451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Article Title and Student Expert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Purpose of the Article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Moves Made with Sources 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(illustrating, authorizing, etc.)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Most Relevant Evidence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Title: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Name of Student Expert: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Title: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Name of Student Expert: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Title: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Name of Student Expert: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Major Takeaways/Synthesis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Jigsaw Note-Catcher.docx</dc:title>
</cp:coreProperties>
</file>